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BA06E" w14:textId="77777777" w:rsidR="0034642F" w:rsidRPr="0034642F" w:rsidRDefault="0034642F" w:rsidP="0034642F">
      <w:pPr>
        <w:spacing w:after="0" w:line="240" w:lineRule="auto"/>
        <w:jc w:val="center"/>
        <w:rPr>
          <w:rFonts w:ascii="Times New Roman" w:eastAsia="Times New Roman" w:hAnsi="Times New Roman" w:cs="Times New Roman"/>
          <w:color w:val="000000"/>
          <w:sz w:val="28"/>
          <w:szCs w:val="28"/>
          <w:lang w:val="en-US" w:eastAsia="ru-RU"/>
        </w:rPr>
      </w:pPr>
      <w:r w:rsidRPr="0034642F">
        <w:rPr>
          <w:rFonts w:ascii="Times New Roman" w:eastAsia="Times New Roman" w:hAnsi="Times New Roman" w:cs="Times New Roman"/>
          <w:b/>
          <w:bCs/>
          <w:color w:val="000000"/>
          <w:sz w:val="28"/>
          <w:szCs w:val="28"/>
          <w:lang w:val="en-US" w:eastAsia="ru-RU"/>
        </w:rPr>
        <w:t>BRIEF SUMMARY</w:t>
      </w:r>
    </w:p>
    <w:p w14:paraId="2D7E61BF" w14:textId="20065A0D" w:rsidR="00D12B26" w:rsidRPr="00D12B26" w:rsidRDefault="00D12B26" w:rsidP="00D12B26">
      <w:pPr>
        <w:spacing w:after="0" w:line="240" w:lineRule="auto"/>
        <w:jc w:val="center"/>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b/>
          <w:bCs/>
          <w:sz w:val="24"/>
          <w:szCs w:val="24"/>
          <w:lang w:val="en-US" w:eastAsia="ru-RU"/>
        </w:rPr>
        <w:t>"</w:t>
      </w:r>
      <w:r w:rsidRPr="00D12B26">
        <w:t xml:space="preserve"> </w:t>
      </w:r>
      <w:r w:rsidRPr="00D12B26">
        <w:rPr>
          <w:rFonts w:ascii="Times New Roman" w:eastAsia="Times New Roman" w:hAnsi="Times New Roman" w:cs="Times New Roman"/>
          <w:b/>
          <w:bCs/>
          <w:sz w:val="24"/>
          <w:szCs w:val="24"/>
          <w:lang w:val="en-US" w:eastAsia="ru-RU"/>
        </w:rPr>
        <w:t>History of the State and Law of the Republic of Belarus and Foreign Countries"</w:t>
      </w:r>
    </w:p>
    <w:p w14:paraId="6478A0E8" w14:textId="77777777" w:rsidR="00D12B26" w:rsidRPr="00D12B26" w:rsidRDefault="00D12B26" w:rsidP="00D12B26">
      <w:pPr>
        <w:spacing w:after="0" w:line="240" w:lineRule="auto"/>
        <w:jc w:val="center"/>
        <w:rPr>
          <w:rFonts w:ascii="Times New Roman" w:eastAsia="Times New Roman" w:hAnsi="Times New Roman" w:cs="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D12B26" w:rsidRPr="00D12B26" w14:paraId="778FF3A0" w14:textId="77777777" w:rsidTr="00D12B26">
        <w:tc>
          <w:tcPr>
            <w:tcW w:w="468" w:type="dxa"/>
            <w:tcBorders>
              <w:top w:val="single" w:sz="4" w:space="0" w:color="auto"/>
              <w:left w:val="single" w:sz="4" w:space="0" w:color="auto"/>
              <w:bottom w:val="single" w:sz="4" w:space="0" w:color="auto"/>
              <w:right w:val="single" w:sz="4" w:space="0" w:color="auto"/>
            </w:tcBorders>
            <w:hideMark/>
          </w:tcPr>
          <w:p w14:paraId="02C1D58A"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1</w:t>
            </w:r>
          </w:p>
        </w:tc>
        <w:tc>
          <w:tcPr>
            <w:tcW w:w="2355" w:type="dxa"/>
            <w:tcBorders>
              <w:top w:val="single" w:sz="4" w:space="0" w:color="auto"/>
              <w:left w:val="single" w:sz="4" w:space="0" w:color="auto"/>
              <w:bottom w:val="single" w:sz="4" w:space="0" w:color="auto"/>
              <w:right w:val="single" w:sz="4" w:space="0" w:color="auto"/>
            </w:tcBorders>
            <w:hideMark/>
          </w:tcPr>
          <w:p w14:paraId="6129C47B" w14:textId="77777777" w:rsidR="00D12B26" w:rsidRPr="00D12B26" w:rsidRDefault="00D12B26" w:rsidP="00D12B26">
            <w:pPr>
              <w:spacing w:after="0" w:line="240" w:lineRule="auto"/>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Specialized Module</w:t>
            </w:r>
          </w:p>
        </w:tc>
        <w:tc>
          <w:tcPr>
            <w:tcW w:w="6300" w:type="dxa"/>
            <w:tcBorders>
              <w:top w:val="single" w:sz="4" w:space="0" w:color="auto"/>
              <w:left w:val="single" w:sz="4" w:space="0" w:color="auto"/>
              <w:bottom w:val="single" w:sz="4" w:space="0" w:color="auto"/>
              <w:right w:val="single" w:sz="4" w:space="0" w:color="auto"/>
            </w:tcBorders>
          </w:tcPr>
          <w:p w14:paraId="1A63891E" w14:textId="6F7F6F4B"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Socio-humanitarian module 1</w:t>
            </w:r>
          </w:p>
        </w:tc>
      </w:tr>
      <w:tr w:rsidR="00D12B26" w:rsidRPr="00D12B26" w14:paraId="4CB2A8E6"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68823603"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2</w:t>
            </w:r>
          </w:p>
        </w:tc>
        <w:tc>
          <w:tcPr>
            <w:tcW w:w="2355" w:type="dxa"/>
            <w:tcBorders>
              <w:top w:val="single" w:sz="4" w:space="0" w:color="auto"/>
              <w:left w:val="single" w:sz="4" w:space="0" w:color="auto"/>
              <w:bottom w:val="single" w:sz="4" w:space="0" w:color="auto"/>
              <w:right w:val="single" w:sz="4" w:space="0" w:color="auto"/>
            </w:tcBorders>
            <w:hideMark/>
          </w:tcPr>
          <w:p w14:paraId="665EF8B7"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Specialty</w:t>
            </w:r>
          </w:p>
        </w:tc>
        <w:tc>
          <w:tcPr>
            <w:tcW w:w="6300" w:type="dxa"/>
            <w:tcBorders>
              <w:top w:val="single" w:sz="4" w:space="0" w:color="auto"/>
              <w:left w:val="single" w:sz="4" w:space="0" w:color="auto"/>
              <w:bottom w:val="single" w:sz="4" w:space="0" w:color="auto"/>
              <w:right w:val="single" w:sz="4" w:space="0" w:color="auto"/>
            </w:tcBorders>
            <w:hideMark/>
          </w:tcPr>
          <w:p w14:paraId="2695678F" w14:textId="01320650"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814D7A">
              <w:rPr>
                <w:rFonts w:ascii="Times New Roman" w:hAnsi="Times New Roman" w:cs="Times New Roman"/>
                <w:sz w:val="24"/>
                <w:szCs w:val="24"/>
              </w:rPr>
              <w:t xml:space="preserve">6-05-0421-02 </w:t>
            </w:r>
            <w:r w:rsidRPr="00D12B26">
              <w:rPr>
                <w:rFonts w:ascii="Times New Roman" w:eastAsia="Times New Roman" w:hAnsi="Times New Roman" w:cs="Times New Roman"/>
                <w:sz w:val="24"/>
                <w:szCs w:val="24"/>
                <w:lang w:val="en-US" w:eastAsia="ru-RU"/>
              </w:rPr>
              <w:t>International law</w:t>
            </w:r>
          </w:p>
        </w:tc>
      </w:tr>
      <w:tr w:rsidR="00D12B26" w:rsidRPr="00D12B26" w14:paraId="677B5ED9"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7D06521F"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3</w:t>
            </w:r>
          </w:p>
        </w:tc>
        <w:tc>
          <w:tcPr>
            <w:tcW w:w="2355" w:type="dxa"/>
            <w:tcBorders>
              <w:top w:val="single" w:sz="4" w:space="0" w:color="auto"/>
              <w:left w:val="single" w:sz="4" w:space="0" w:color="auto"/>
              <w:bottom w:val="single" w:sz="4" w:space="0" w:color="auto"/>
              <w:right w:val="single" w:sz="4" w:space="0" w:color="auto"/>
            </w:tcBorders>
            <w:hideMark/>
          </w:tcPr>
          <w:p w14:paraId="768975E8"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127D2EDC"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1</w:t>
            </w:r>
          </w:p>
        </w:tc>
      </w:tr>
      <w:tr w:rsidR="00D12B26" w:rsidRPr="00D12B26" w14:paraId="4EA2596E"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02F29C21"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4</w:t>
            </w:r>
          </w:p>
        </w:tc>
        <w:tc>
          <w:tcPr>
            <w:tcW w:w="2355" w:type="dxa"/>
            <w:tcBorders>
              <w:top w:val="single" w:sz="4" w:space="0" w:color="auto"/>
              <w:left w:val="single" w:sz="4" w:space="0" w:color="auto"/>
              <w:bottom w:val="single" w:sz="4" w:space="0" w:color="auto"/>
              <w:right w:val="single" w:sz="4" w:space="0" w:color="auto"/>
            </w:tcBorders>
            <w:hideMark/>
          </w:tcPr>
          <w:p w14:paraId="305C43AE"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 xml:space="preserve">Semester </w:t>
            </w:r>
          </w:p>
        </w:tc>
        <w:tc>
          <w:tcPr>
            <w:tcW w:w="6300" w:type="dxa"/>
            <w:tcBorders>
              <w:top w:val="single" w:sz="4" w:space="0" w:color="auto"/>
              <w:left w:val="single" w:sz="4" w:space="0" w:color="auto"/>
              <w:bottom w:val="single" w:sz="4" w:space="0" w:color="auto"/>
              <w:right w:val="single" w:sz="4" w:space="0" w:color="auto"/>
            </w:tcBorders>
            <w:hideMark/>
          </w:tcPr>
          <w:p w14:paraId="5E9D2BB3" w14:textId="132977DD" w:rsidR="00D12B26" w:rsidRPr="00D12B26" w:rsidRDefault="00D12B26" w:rsidP="00D12B26">
            <w:pPr>
              <w:spacing w:after="0" w:line="240" w:lineRule="auto"/>
              <w:jc w:val="both"/>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1</w:t>
            </w:r>
          </w:p>
        </w:tc>
      </w:tr>
      <w:tr w:rsidR="00D12B26" w:rsidRPr="00D12B26" w14:paraId="0F52ACE3" w14:textId="77777777" w:rsidTr="00D12B26">
        <w:tc>
          <w:tcPr>
            <w:tcW w:w="468" w:type="dxa"/>
            <w:tcBorders>
              <w:top w:val="single" w:sz="4" w:space="0" w:color="auto"/>
              <w:left w:val="single" w:sz="4" w:space="0" w:color="auto"/>
              <w:bottom w:val="single" w:sz="4" w:space="0" w:color="auto"/>
              <w:right w:val="single" w:sz="4" w:space="0" w:color="auto"/>
            </w:tcBorders>
            <w:hideMark/>
          </w:tcPr>
          <w:p w14:paraId="454D9DEA"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5</w:t>
            </w:r>
          </w:p>
        </w:tc>
        <w:tc>
          <w:tcPr>
            <w:tcW w:w="2355" w:type="dxa"/>
            <w:tcBorders>
              <w:top w:val="single" w:sz="4" w:space="0" w:color="auto"/>
              <w:left w:val="single" w:sz="4" w:space="0" w:color="auto"/>
              <w:bottom w:val="single" w:sz="4" w:space="0" w:color="auto"/>
              <w:right w:val="single" w:sz="4" w:space="0" w:color="auto"/>
            </w:tcBorders>
            <w:hideMark/>
          </w:tcPr>
          <w:p w14:paraId="4DAFE263"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en-US" w:eastAsia="ru-RU"/>
              </w:rPr>
              <w:t>C</w:t>
            </w:r>
            <w:r w:rsidRPr="00D12B26">
              <w:rPr>
                <w:rFonts w:ascii="Times New Roman" w:eastAsia="Times New Roman" w:hAnsi="Times New Roman" w:cs="Times New Roman"/>
                <w:sz w:val="24"/>
                <w:szCs w:val="24"/>
                <w:lang w:val="ru-RU" w:eastAsia="ru-RU"/>
              </w:rPr>
              <w:t>redit unit</w:t>
            </w:r>
          </w:p>
        </w:tc>
        <w:tc>
          <w:tcPr>
            <w:tcW w:w="6300" w:type="dxa"/>
            <w:tcBorders>
              <w:top w:val="single" w:sz="4" w:space="0" w:color="auto"/>
              <w:left w:val="single" w:sz="4" w:space="0" w:color="auto"/>
              <w:bottom w:val="single" w:sz="4" w:space="0" w:color="auto"/>
              <w:right w:val="single" w:sz="4" w:space="0" w:color="auto"/>
            </w:tcBorders>
          </w:tcPr>
          <w:p w14:paraId="78848797" w14:textId="170A6830"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r>
      <w:tr w:rsidR="00D12B26" w:rsidRPr="00D12B26" w14:paraId="26F47127"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71BF2BD8"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6</w:t>
            </w:r>
          </w:p>
        </w:tc>
        <w:tc>
          <w:tcPr>
            <w:tcW w:w="2355" w:type="dxa"/>
            <w:tcBorders>
              <w:top w:val="single" w:sz="4" w:space="0" w:color="auto"/>
              <w:left w:val="single" w:sz="4" w:space="0" w:color="auto"/>
              <w:bottom w:val="single" w:sz="4" w:space="0" w:color="auto"/>
              <w:right w:val="single" w:sz="4" w:space="0" w:color="auto"/>
            </w:tcBorders>
            <w:hideMark/>
          </w:tcPr>
          <w:p w14:paraId="4E020430" w14:textId="77777777" w:rsidR="00D12B26" w:rsidRPr="00D12B26" w:rsidRDefault="00D12B26" w:rsidP="00D12B26">
            <w:pPr>
              <w:spacing w:after="0" w:line="240" w:lineRule="auto"/>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Degree, title, full name of lecturers</w:t>
            </w:r>
          </w:p>
        </w:tc>
        <w:tc>
          <w:tcPr>
            <w:tcW w:w="6300" w:type="dxa"/>
            <w:tcBorders>
              <w:top w:val="single" w:sz="4" w:space="0" w:color="auto"/>
              <w:left w:val="single" w:sz="4" w:space="0" w:color="auto"/>
              <w:bottom w:val="single" w:sz="4" w:space="0" w:color="auto"/>
              <w:right w:val="single" w:sz="4" w:space="0" w:color="auto"/>
            </w:tcBorders>
            <w:hideMark/>
          </w:tcPr>
          <w:p w14:paraId="5CC12506"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 xml:space="preserve">Senior lecturer </w:t>
            </w:r>
          </w:p>
          <w:p w14:paraId="3E67960E" w14:textId="78B6476B"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Elena Yevgenyevna Demina</w:t>
            </w:r>
          </w:p>
        </w:tc>
      </w:tr>
      <w:tr w:rsidR="00D12B26" w:rsidRPr="00D12B26" w14:paraId="37DF5523"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0AA5A563"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7</w:t>
            </w:r>
          </w:p>
        </w:tc>
        <w:tc>
          <w:tcPr>
            <w:tcW w:w="2355" w:type="dxa"/>
            <w:tcBorders>
              <w:top w:val="single" w:sz="4" w:space="0" w:color="auto"/>
              <w:left w:val="single" w:sz="4" w:space="0" w:color="auto"/>
              <w:bottom w:val="single" w:sz="4" w:space="0" w:color="auto"/>
              <w:right w:val="single" w:sz="4" w:space="0" w:color="auto"/>
            </w:tcBorders>
            <w:hideMark/>
          </w:tcPr>
          <w:p w14:paraId="0FC66DA2" w14:textId="77777777" w:rsidR="00D12B26" w:rsidRPr="00D12B26" w:rsidRDefault="00D12B26" w:rsidP="00D12B26">
            <w:pPr>
              <w:spacing w:after="0" w:line="240" w:lineRule="auto"/>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Objective</w:t>
            </w:r>
          </w:p>
          <w:p w14:paraId="4A6888D6" w14:textId="77777777" w:rsidR="00D12B26" w:rsidRPr="00D12B26" w:rsidRDefault="00D12B26" w:rsidP="00D12B26">
            <w:pPr>
              <w:spacing w:after="0" w:line="240" w:lineRule="auto"/>
              <w:jc w:val="center"/>
              <w:rPr>
                <w:rFonts w:ascii="Times New Roman" w:eastAsia="Times New Roman" w:hAnsi="Times New Roman" w:cs="Times New Roman"/>
                <w:sz w:val="24"/>
                <w:szCs w:val="24"/>
                <w:lang w:val="ru-RU" w:eastAsia="ru-RU"/>
              </w:rPr>
            </w:pPr>
          </w:p>
        </w:tc>
        <w:tc>
          <w:tcPr>
            <w:tcW w:w="6300" w:type="dxa"/>
            <w:tcBorders>
              <w:top w:val="single" w:sz="4" w:space="0" w:color="auto"/>
              <w:left w:val="single" w:sz="4" w:space="0" w:color="auto"/>
              <w:bottom w:val="single" w:sz="4" w:space="0" w:color="auto"/>
              <w:right w:val="single" w:sz="4" w:space="0" w:color="auto"/>
            </w:tcBorders>
            <w:hideMark/>
          </w:tcPr>
          <w:p w14:paraId="2756614B" w14:textId="07F1D55E"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Conceptuali</w:t>
            </w:r>
            <w:r>
              <w:rPr>
                <w:rFonts w:ascii="Times New Roman" w:eastAsia="Times New Roman" w:hAnsi="Times New Roman" w:cs="Times New Roman"/>
                <w:sz w:val="24"/>
                <w:szCs w:val="24"/>
                <w:lang w:val="en-US" w:eastAsia="ru-RU"/>
              </w:rPr>
              <w:t>z</w:t>
            </w:r>
            <w:r w:rsidRPr="00D12B26">
              <w:rPr>
                <w:rFonts w:ascii="Times New Roman" w:eastAsia="Times New Roman" w:hAnsi="Times New Roman" w:cs="Times New Roman"/>
                <w:sz w:val="24"/>
                <w:szCs w:val="24"/>
                <w:lang w:val="en-US" w:eastAsia="ru-RU"/>
              </w:rPr>
              <w:t>ation of the chronological sequence and stages of the development of Belarusian statehood and acquaintance with the political and legal experience of foreign countries that have had the greatest influence on the development of statehood and law. The study of the peculiarities of the development of law and the functioning of state authorities and judicial institutions in the Republic of Belarus and in foreign countries.</w:t>
            </w:r>
          </w:p>
        </w:tc>
      </w:tr>
      <w:tr w:rsidR="00D12B26" w:rsidRPr="00D12B26" w14:paraId="130895D4"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0DD1DFDB"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8</w:t>
            </w:r>
          </w:p>
        </w:tc>
        <w:tc>
          <w:tcPr>
            <w:tcW w:w="2355" w:type="dxa"/>
            <w:tcBorders>
              <w:top w:val="single" w:sz="4" w:space="0" w:color="auto"/>
              <w:left w:val="single" w:sz="4" w:space="0" w:color="auto"/>
              <w:bottom w:val="single" w:sz="4" w:space="0" w:color="auto"/>
              <w:right w:val="single" w:sz="4" w:space="0" w:color="auto"/>
            </w:tcBorders>
            <w:hideMark/>
          </w:tcPr>
          <w:p w14:paraId="47859A9E"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6B8972DE" w14:textId="1389FC2E"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History of States and Law of the Republic of Belarus and Foreign Countries</w:t>
            </w:r>
          </w:p>
        </w:tc>
      </w:tr>
      <w:tr w:rsidR="00D12B26" w:rsidRPr="00D12B26" w14:paraId="202F7998" w14:textId="77777777" w:rsidTr="00D61D47">
        <w:trPr>
          <w:trHeight w:val="1691"/>
        </w:trPr>
        <w:tc>
          <w:tcPr>
            <w:tcW w:w="468" w:type="dxa"/>
            <w:tcBorders>
              <w:top w:val="single" w:sz="4" w:space="0" w:color="auto"/>
              <w:left w:val="single" w:sz="4" w:space="0" w:color="auto"/>
              <w:bottom w:val="single" w:sz="4" w:space="0" w:color="auto"/>
              <w:right w:val="single" w:sz="4" w:space="0" w:color="auto"/>
            </w:tcBorders>
            <w:hideMark/>
          </w:tcPr>
          <w:p w14:paraId="4B689E23"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9</w:t>
            </w:r>
          </w:p>
        </w:tc>
        <w:tc>
          <w:tcPr>
            <w:tcW w:w="2355" w:type="dxa"/>
            <w:tcBorders>
              <w:top w:val="single" w:sz="4" w:space="0" w:color="auto"/>
              <w:left w:val="single" w:sz="4" w:space="0" w:color="auto"/>
              <w:bottom w:val="single" w:sz="4" w:space="0" w:color="auto"/>
              <w:right w:val="single" w:sz="4" w:space="0" w:color="auto"/>
            </w:tcBorders>
            <w:hideMark/>
          </w:tcPr>
          <w:p w14:paraId="0787806E" w14:textId="77777777" w:rsidR="00D12B26" w:rsidRPr="00D12B26" w:rsidRDefault="00D12B26" w:rsidP="00D12B26">
            <w:pPr>
              <w:spacing w:after="0" w:line="240" w:lineRule="auto"/>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Syllabus</w:t>
            </w:r>
          </w:p>
          <w:p w14:paraId="7456BC06" w14:textId="77777777" w:rsidR="00D12B26" w:rsidRPr="00D12B26" w:rsidRDefault="00D12B26" w:rsidP="00D12B26">
            <w:pPr>
              <w:spacing w:after="0" w:line="240" w:lineRule="auto"/>
              <w:jc w:val="center"/>
              <w:rPr>
                <w:rFonts w:ascii="Times New Roman" w:eastAsia="Times New Roman" w:hAnsi="Times New Roman" w:cs="Times New Roman"/>
                <w:sz w:val="24"/>
                <w:szCs w:val="24"/>
                <w:lang w:val="ru-RU" w:eastAsia="ru-RU"/>
              </w:rPr>
            </w:pPr>
          </w:p>
        </w:tc>
        <w:tc>
          <w:tcPr>
            <w:tcW w:w="6300" w:type="dxa"/>
            <w:tcBorders>
              <w:top w:val="single" w:sz="4" w:space="0" w:color="auto"/>
              <w:left w:val="single" w:sz="4" w:space="0" w:color="auto"/>
              <w:bottom w:val="single" w:sz="4" w:space="0" w:color="auto"/>
              <w:right w:val="single" w:sz="4" w:space="0" w:color="auto"/>
            </w:tcBorders>
            <w:hideMark/>
          </w:tcPr>
          <w:p w14:paraId="3D175959"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Section I. State and Law of the Ancient World and Early Feudal Principal States.</w:t>
            </w:r>
          </w:p>
          <w:p w14:paraId="43CB780F"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Section II. State and Law in the Middle Ages.</w:t>
            </w:r>
          </w:p>
          <w:p w14:paraId="6FC9B149"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State and law of the Grand Duchy of Lithuania (XIII - XVI cc.).</w:t>
            </w:r>
          </w:p>
          <w:p w14:paraId="27A3358E"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The State and Law of Medieval Russia.</w:t>
            </w:r>
          </w:p>
          <w:p w14:paraId="3B4A6220"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The Moscow (Russian) State and Law</w:t>
            </w:r>
          </w:p>
          <w:p w14:paraId="2FA341CA"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in the fourteenth and first half of the seventeenth centuries.</w:t>
            </w:r>
          </w:p>
          <w:p w14:paraId="251FA5E5"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Section III. State and Law in Modern Times.</w:t>
            </w:r>
          </w:p>
          <w:p w14:paraId="4A2C0EEB"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The State and Law of Belarus within the Polish-Lithuanian Commonwealth and the Russian Empire (late 16th - early 20th centuries).</w:t>
            </w:r>
          </w:p>
          <w:p w14:paraId="17452737"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The Russian State and Law in Modern Times.</w:t>
            </w:r>
          </w:p>
          <w:p w14:paraId="52FE144A"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Section IV. State and Law in Modern Times.</w:t>
            </w:r>
          </w:p>
          <w:p w14:paraId="785D3445"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State and law in Belarus during the period of revival of Belarusian statehood (1917-1920). State and legal development of the Belarusian SSR in the 20-30s of the XX century and the post-war period (the second half of the 40s - the first half of the 80s of the XX century).</w:t>
            </w:r>
          </w:p>
          <w:p w14:paraId="2AAB2FA8"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 xml:space="preserve">The State and Law of the Republic of Belarus in the late XX - early XXI century and in the period of cardinal reforms of the 90s of the XX century. State and Law of Germany in Modern Times. State and Law of France in Modern Times. </w:t>
            </w:r>
          </w:p>
          <w:p w14:paraId="04500BCA"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State and Law of Great Britain in Modern Times.</w:t>
            </w:r>
          </w:p>
          <w:p w14:paraId="3E7817A2" w14:textId="2431D649" w:rsidR="00D12B26" w:rsidRPr="00D12B26" w:rsidRDefault="00D12B26" w:rsidP="00D12B26">
            <w:pPr>
              <w:spacing w:after="0" w:line="240" w:lineRule="auto"/>
              <w:jc w:val="both"/>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State and Law of the United States of America in Modern Times.</w:t>
            </w:r>
          </w:p>
        </w:tc>
      </w:tr>
      <w:tr w:rsidR="00D12B26" w:rsidRPr="00D12B26" w14:paraId="501EC34F" w14:textId="77777777" w:rsidTr="00D12B26">
        <w:tc>
          <w:tcPr>
            <w:tcW w:w="468" w:type="dxa"/>
            <w:tcBorders>
              <w:top w:val="single" w:sz="4" w:space="0" w:color="auto"/>
              <w:left w:val="single" w:sz="4" w:space="0" w:color="auto"/>
              <w:bottom w:val="single" w:sz="4" w:space="0" w:color="auto"/>
              <w:right w:val="single" w:sz="4" w:space="0" w:color="auto"/>
            </w:tcBorders>
            <w:hideMark/>
          </w:tcPr>
          <w:p w14:paraId="58588A98"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10</w:t>
            </w:r>
          </w:p>
        </w:tc>
        <w:tc>
          <w:tcPr>
            <w:tcW w:w="2355" w:type="dxa"/>
            <w:tcBorders>
              <w:top w:val="single" w:sz="4" w:space="0" w:color="auto"/>
              <w:left w:val="single" w:sz="4" w:space="0" w:color="auto"/>
              <w:bottom w:val="single" w:sz="4" w:space="0" w:color="auto"/>
              <w:right w:val="single" w:sz="4" w:space="0" w:color="auto"/>
            </w:tcBorders>
            <w:hideMark/>
          </w:tcPr>
          <w:p w14:paraId="57C9C2E8" w14:textId="77777777" w:rsidR="00D12B26" w:rsidRPr="00D12B26" w:rsidRDefault="00D12B26" w:rsidP="00D12B26">
            <w:pPr>
              <w:spacing w:after="0" w:line="240" w:lineRule="auto"/>
              <w:rPr>
                <w:rFonts w:ascii="Times New Roman" w:eastAsia="Times New Roman" w:hAnsi="Times New Roman" w:cs="Times New Roman"/>
                <w:sz w:val="24"/>
                <w:szCs w:val="24"/>
                <w:lang w:val="en-US" w:eastAsia="ru-RU"/>
              </w:rPr>
            </w:pPr>
            <w:r w:rsidRPr="00D12B26">
              <w:rPr>
                <w:rFonts w:ascii="Times New Roman" w:eastAsia="Times New Roman" w:hAnsi="Times New Roman" w:cs="Times New Roman"/>
                <w:sz w:val="24"/>
                <w:szCs w:val="24"/>
                <w:lang w:val="en-US" w:eastAsia="ru-RU"/>
              </w:rPr>
              <w:t>References</w:t>
            </w:r>
          </w:p>
        </w:tc>
        <w:tc>
          <w:tcPr>
            <w:tcW w:w="6300" w:type="dxa"/>
            <w:tcBorders>
              <w:top w:val="single" w:sz="4" w:space="0" w:color="auto"/>
              <w:left w:val="single" w:sz="4" w:space="0" w:color="auto"/>
              <w:bottom w:val="single" w:sz="4" w:space="0" w:color="auto"/>
              <w:right w:val="single" w:sz="4" w:space="0" w:color="auto"/>
            </w:tcBorders>
          </w:tcPr>
          <w:p w14:paraId="3EE247D6" w14:textId="77777777" w:rsidR="00D12B26" w:rsidRPr="00760E90" w:rsidRDefault="00D12B26" w:rsidP="00D12B26">
            <w:pPr>
              <w:pStyle w:val="1"/>
              <w:keepNext w:val="0"/>
              <w:keepLines w:val="0"/>
              <w:spacing w:before="0"/>
              <w:ind w:left="284" w:hanging="284"/>
              <w:jc w:val="both"/>
              <w:rPr>
                <w:rFonts w:ascii="Times New Roman" w:hAnsi="Times New Roman"/>
                <w:b w:val="0"/>
                <w:color w:val="auto"/>
                <w:sz w:val="24"/>
                <w:szCs w:val="24"/>
              </w:rPr>
            </w:pPr>
            <w:r w:rsidRPr="00760E90">
              <w:rPr>
                <w:rFonts w:ascii="Times New Roman" w:hAnsi="Times New Roman"/>
                <w:b w:val="0"/>
                <w:color w:val="auto"/>
                <w:sz w:val="24"/>
                <w:szCs w:val="24"/>
                <w:lang w:val="ru-RU"/>
              </w:rPr>
              <w:t>1.</w:t>
            </w:r>
            <w:r w:rsidRPr="00760E90">
              <w:rPr>
                <w:rFonts w:ascii="Times New Roman" w:hAnsi="Times New Roman"/>
                <w:b w:val="0"/>
                <w:color w:val="auto"/>
                <w:sz w:val="24"/>
                <w:szCs w:val="24"/>
              </w:rPr>
              <w:t xml:space="preserve"> Аргучинцев, Г. К.</w:t>
            </w:r>
            <w:r w:rsidRPr="00760E90">
              <w:rPr>
                <w:rFonts w:ascii="Times New Roman" w:hAnsi="Times New Roman"/>
                <w:b w:val="0"/>
                <w:i/>
                <w:color w:val="auto"/>
                <w:sz w:val="24"/>
                <w:szCs w:val="24"/>
              </w:rPr>
              <w:t xml:space="preserve"> </w:t>
            </w:r>
            <w:r w:rsidRPr="00760E90">
              <w:rPr>
                <w:rStyle w:val="a6"/>
                <w:rFonts w:ascii="Times New Roman" w:hAnsi="Times New Roman"/>
                <w:b w:val="0"/>
                <w:i w:val="0"/>
                <w:color w:val="auto"/>
                <w:sz w:val="24"/>
                <w:szCs w:val="24"/>
              </w:rPr>
              <w:t>История государства</w:t>
            </w:r>
            <w:r w:rsidRPr="00760E90">
              <w:rPr>
                <w:rStyle w:val="st"/>
                <w:rFonts w:ascii="Times New Roman" w:hAnsi="Times New Roman"/>
                <w:b w:val="0"/>
                <w:color w:val="auto"/>
                <w:sz w:val="24"/>
                <w:szCs w:val="24"/>
              </w:rPr>
              <w:t xml:space="preserve"> и</w:t>
            </w:r>
            <w:r w:rsidRPr="00760E90">
              <w:rPr>
                <w:rStyle w:val="st"/>
                <w:rFonts w:ascii="Times New Roman" w:hAnsi="Times New Roman"/>
                <w:b w:val="0"/>
                <w:i/>
                <w:color w:val="auto"/>
                <w:sz w:val="24"/>
                <w:szCs w:val="24"/>
              </w:rPr>
              <w:t xml:space="preserve"> </w:t>
            </w:r>
            <w:r w:rsidRPr="00760E90">
              <w:rPr>
                <w:rStyle w:val="a6"/>
                <w:rFonts w:ascii="Times New Roman" w:hAnsi="Times New Roman"/>
                <w:b w:val="0"/>
                <w:i w:val="0"/>
                <w:color w:val="auto"/>
                <w:sz w:val="24"/>
                <w:szCs w:val="24"/>
              </w:rPr>
              <w:t>права Республики Беларусь</w:t>
            </w:r>
            <w:r w:rsidRPr="00760E90">
              <w:rPr>
                <w:rStyle w:val="st"/>
                <w:rFonts w:ascii="Times New Roman" w:hAnsi="Times New Roman"/>
                <w:b w:val="0"/>
                <w:i/>
                <w:color w:val="auto"/>
                <w:sz w:val="24"/>
                <w:szCs w:val="24"/>
              </w:rPr>
              <w:t xml:space="preserve">. </w:t>
            </w:r>
            <w:r w:rsidRPr="00760E90">
              <w:rPr>
                <w:rStyle w:val="st"/>
                <w:rFonts w:ascii="Times New Roman" w:hAnsi="Times New Roman"/>
                <w:b w:val="0"/>
                <w:color w:val="auto"/>
                <w:sz w:val="24"/>
                <w:szCs w:val="24"/>
              </w:rPr>
              <w:t>В</w:t>
            </w:r>
            <w:r w:rsidRPr="00760E90">
              <w:rPr>
                <w:rStyle w:val="st"/>
                <w:rFonts w:ascii="Times New Roman" w:hAnsi="Times New Roman"/>
                <w:b w:val="0"/>
                <w:i/>
                <w:color w:val="auto"/>
                <w:sz w:val="24"/>
                <w:szCs w:val="24"/>
              </w:rPr>
              <w:t xml:space="preserve"> </w:t>
            </w:r>
            <w:r w:rsidRPr="00760E90">
              <w:rPr>
                <w:rStyle w:val="a6"/>
                <w:rFonts w:ascii="Times New Roman" w:hAnsi="Times New Roman"/>
                <w:b w:val="0"/>
                <w:i w:val="0"/>
                <w:color w:val="auto"/>
                <w:sz w:val="24"/>
                <w:szCs w:val="24"/>
              </w:rPr>
              <w:t>вопросах</w:t>
            </w:r>
            <w:r w:rsidRPr="00760E90">
              <w:rPr>
                <w:rStyle w:val="st"/>
                <w:rFonts w:ascii="Times New Roman" w:hAnsi="Times New Roman"/>
                <w:b w:val="0"/>
                <w:i/>
                <w:color w:val="auto"/>
                <w:sz w:val="24"/>
                <w:szCs w:val="24"/>
              </w:rPr>
              <w:t xml:space="preserve"> </w:t>
            </w:r>
            <w:r w:rsidRPr="00760E90">
              <w:rPr>
                <w:rStyle w:val="st"/>
                <w:rFonts w:ascii="Times New Roman" w:hAnsi="Times New Roman"/>
                <w:b w:val="0"/>
                <w:color w:val="auto"/>
                <w:sz w:val="24"/>
                <w:szCs w:val="24"/>
              </w:rPr>
              <w:t>и</w:t>
            </w:r>
            <w:r w:rsidRPr="00760E90">
              <w:rPr>
                <w:rStyle w:val="st"/>
                <w:rFonts w:ascii="Times New Roman" w:hAnsi="Times New Roman"/>
                <w:b w:val="0"/>
                <w:i/>
                <w:color w:val="auto"/>
                <w:sz w:val="24"/>
                <w:szCs w:val="24"/>
              </w:rPr>
              <w:t xml:space="preserve"> </w:t>
            </w:r>
            <w:r w:rsidRPr="00760E90">
              <w:rPr>
                <w:rStyle w:val="a6"/>
                <w:rFonts w:ascii="Times New Roman" w:hAnsi="Times New Roman"/>
                <w:b w:val="0"/>
                <w:i w:val="0"/>
                <w:color w:val="auto"/>
                <w:sz w:val="24"/>
                <w:szCs w:val="24"/>
              </w:rPr>
              <w:t>ответах</w:t>
            </w:r>
            <w:r w:rsidRPr="00760E90">
              <w:rPr>
                <w:rStyle w:val="st"/>
                <w:rFonts w:ascii="Times New Roman" w:hAnsi="Times New Roman"/>
                <w:b w:val="0"/>
                <w:i/>
                <w:color w:val="auto"/>
                <w:sz w:val="24"/>
                <w:szCs w:val="24"/>
              </w:rPr>
              <w:t xml:space="preserve">. </w:t>
            </w:r>
            <w:r w:rsidRPr="00760E90">
              <w:rPr>
                <w:rStyle w:val="st"/>
                <w:rFonts w:ascii="Times New Roman" w:hAnsi="Times New Roman"/>
                <w:b w:val="0"/>
                <w:color w:val="auto"/>
                <w:sz w:val="24"/>
                <w:szCs w:val="24"/>
              </w:rPr>
              <w:t>Г.</w:t>
            </w:r>
            <w:r w:rsidRPr="00760E90">
              <w:rPr>
                <w:rStyle w:val="st"/>
                <w:rFonts w:ascii="Times New Roman" w:hAnsi="Times New Roman"/>
                <w:b w:val="0"/>
                <w:i/>
                <w:color w:val="auto"/>
                <w:sz w:val="24"/>
                <w:szCs w:val="24"/>
              </w:rPr>
              <w:t xml:space="preserve"> </w:t>
            </w:r>
            <w:r w:rsidRPr="00760E90">
              <w:rPr>
                <w:rStyle w:val="a6"/>
                <w:rFonts w:ascii="Times New Roman" w:hAnsi="Times New Roman"/>
                <w:b w:val="0"/>
                <w:i w:val="0"/>
                <w:color w:val="auto"/>
                <w:sz w:val="24"/>
                <w:szCs w:val="24"/>
              </w:rPr>
              <w:t>Аргучинцев</w:t>
            </w:r>
            <w:r w:rsidRPr="00760E90">
              <w:rPr>
                <w:rStyle w:val="st"/>
                <w:rFonts w:ascii="Times New Roman" w:hAnsi="Times New Roman"/>
                <w:b w:val="0"/>
                <w:i/>
                <w:color w:val="auto"/>
                <w:sz w:val="24"/>
                <w:szCs w:val="24"/>
              </w:rPr>
              <w:t xml:space="preserve">,  </w:t>
            </w:r>
            <w:r w:rsidRPr="00760E90">
              <w:rPr>
                <w:rStyle w:val="st"/>
                <w:rFonts w:ascii="Times New Roman" w:hAnsi="Times New Roman"/>
                <w:b w:val="0"/>
                <w:color w:val="auto"/>
                <w:sz w:val="24"/>
                <w:szCs w:val="24"/>
              </w:rPr>
              <w:t>Н. Ильинский.</w:t>
            </w:r>
            <w:r w:rsidRPr="00760E90">
              <w:rPr>
                <w:rFonts w:ascii="Times New Roman" w:hAnsi="Times New Roman"/>
                <w:b w:val="0"/>
                <w:color w:val="auto"/>
                <w:sz w:val="24"/>
                <w:szCs w:val="24"/>
              </w:rPr>
              <w:t>— Минск: Амалфея, 2019. —216 с.</w:t>
            </w:r>
          </w:p>
          <w:p w14:paraId="09EAA3ED" w14:textId="77777777" w:rsidR="00D12B26" w:rsidRPr="00760E90" w:rsidRDefault="00D12B26" w:rsidP="00D12B26">
            <w:pPr>
              <w:pStyle w:val="1"/>
              <w:keepNext w:val="0"/>
              <w:keepLines w:val="0"/>
              <w:spacing w:before="0"/>
              <w:ind w:left="284" w:hanging="284"/>
              <w:jc w:val="both"/>
              <w:rPr>
                <w:rFonts w:ascii="Times New Roman" w:hAnsi="Times New Roman"/>
                <w:b w:val="0"/>
                <w:color w:val="auto"/>
                <w:sz w:val="24"/>
                <w:szCs w:val="24"/>
              </w:rPr>
            </w:pPr>
            <w:r>
              <w:rPr>
                <w:rFonts w:ascii="Times New Roman" w:hAnsi="Times New Roman"/>
                <w:b w:val="0"/>
                <w:color w:val="auto"/>
                <w:sz w:val="24"/>
                <w:szCs w:val="24"/>
                <w:lang w:val="ru-RU"/>
              </w:rPr>
              <w:t>2</w:t>
            </w:r>
            <w:r w:rsidRPr="00760E90">
              <w:rPr>
                <w:rFonts w:ascii="Times New Roman" w:hAnsi="Times New Roman"/>
                <w:b w:val="0"/>
                <w:color w:val="auto"/>
                <w:sz w:val="24"/>
                <w:szCs w:val="24"/>
              </w:rPr>
              <w:t>. Аргучинцев, Г. К. История государства и права Беларуси: учебное пособие для студентов специальности «Правоведение». — Минск: Амалфея, 2019. — 380 с.</w:t>
            </w:r>
          </w:p>
          <w:p w14:paraId="099F8402" w14:textId="77777777" w:rsidR="00D12B26" w:rsidRPr="0052622F" w:rsidRDefault="00D12B26" w:rsidP="00D12B26">
            <w:pPr>
              <w:autoSpaceDE w:val="0"/>
              <w:autoSpaceDN w:val="0"/>
              <w:adjustRightInd w:val="0"/>
              <w:spacing w:after="0" w:line="240" w:lineRule="auto"/>
              <w:ind w:left="284" w:hanging="284"/>
              <w:jc w:val="both"/>
              <w:rPr>
                <w:rFonts w:ascii="Times New Roman" w:hAnsi="Times New Roman" w:cs="Times New Roman"/>
                <w:b/>
                <w:bCs/>
                <w:sz w:val="24"/>
                <w:szCs w:val="24"/>
                <w:lang w:val="ru-RU"/>
              </w:rPr>
            </w:pPr>
            <w:r>
              <w:rPr>
                <w:rFonts w:ascii="Times New Roman" w:hAnsi="Times New Roman" w:cs="Times New Roman"/>
                <w:bCs/>
                <w:sz w:val="24"/>
                <w:szCs w:val="24"/>
                <w:lang w:val="ru-RU"/>
              </w:rPr>
              <w:lastRenderedPageBreak/>
              <w:t>3</w:t>
            </w:r>
            <w:r w:rsidRPr="00760E90">
              <w:rPr>
                <w:rFonts w:ascii="Times New Roman" w:hAnsi="Times New Roman" w:cs="Times New Roman"/>
                <w:bCs/>
                <w:sz w:val="24"/>
                <w:szCs w:val="24"/>
              </w:rPr>
              <w:t xml:space="preserve">. Довнар, Т. И. История государства и права Беларуси: учебное пособие для студентов учреждений высшего образования по специальностям "Правоведение", "Экономическое право", "Политология (по направлениям)", "Международное право" / Т. И. Довнар, Е. И. Орловская. - 2-е изд., стереотипное. - Минск: Издательский центр БГУ, 2020. - 191 с. </w:t>
            </w:r>
          </w:p>
          <w:p w14:paraId="4797EA16" w14:textId="77777777" w:rsidR="00D12B26" w:rsidRPr="00760E90" w:rsidRDefault="00D12B26" w:rsidP="00D12B26">
            <w:pPr>
              <w:spacing w:after="0" w:line="241" w:lineRule="auto"/>
              <w:ind w:left="246" w:hanging="246"/>
              <w:jc w:val="both"/>
              <w:rPr>
                <w:rFonts w:ascii="Times New Roman" w:hAnsi="Times New Roman" w:cs="Times New Roman"/>
                <w:sz w:val="24"/>
                <w:szCs w:val="24"/>
                <w:shd w:val="clear" w:color="auto" w:fill="FFFFFF"/>
              </w:rPr>
            </w:pPr>
            <w:r w:rsidRPr="0052622F">
              <w:rPr>
                <w:rFonts w:ascii="Times New Roman" w:hAnsi="Times New Roman" w:cs="Times New Roman"/>
                <w:bCs/>
                <w:sz w:val="24"/>
                <w:szCs w:val="24"/>
                <w:lang w:val="ru-RU"/>
              </w:rPr>
              <w:t>4.</w:t>
            </w:r>
            <w:r w:rsidRPr="00760E90">
              <w:rPr>
                <w:rFonts w:ascii="Times New Roman" w:hAnsi="Times New Roman" w:cs="Times New Roman"/>
                <w:bCs/>
                <w:lang w:val="ru-RU"/>
              </w:rPr>
              <w:t xml:space="preserve"> </w:t>
            </w:r>
            <w:r w:rsidRPr="00760E90">
              <w:rPr>
                <w:rFonts w:ascii="Times New Roman" w:hAnsi="Times New Roman" w:cs="Times New Roman"/>
                <w:bCs/>
                <w:sz w:val="24"/>
                <w:szCs w:val="24"/>
              </w:rPr>
              <w:t>Вологдин, А.А. История государства и права зарубежных стран: учеб. и практикум для академ. бакалавриата: для студ. высших учеб. заведений, обуч. по юрид. направл.  и спец.: в 2 т. / А.А. Вологдин. – 5-е изд., исправл. и доп. – М.: Юрайт, 2019.</w:t>
            </w:r>
          </w:p>
          <w:p w14:paraId="29FC3206" w14:textId="77777777" w:rsidR="00D12B26" w:rsidRPr="0052622F" w:rsidRDefault="00D12B26" w:rsidP="00D12B26">
            <w:pPr>
              <w:pStyle w:val="a7"/>
              <w:numPr>
                <w:ilvl w:val="0"/>
                <w:numId w:val="3"/>
              </w:numPr>
              <w:spacing w:after="0" w:line="241" w:lineRule="auto"/>
              <w:ind w:left="245" w:hanging="245"/>
              <w:jc w:val="both"/>
              <w:rPr>
                <w:rFonts w:ascii="Times New Roman" w:hAnsi="Times New Roman" w:cs="Times New Roman"/>
                <w:sz w:val="24"/>
                <w:szCs w:val="24"/>
              </w:rPr>
            </w:pPr>
            <w:r w:rsidRPr="0052622F">
              <w:rPr>
                <w:rFonts w:ascii="Times New Roman" w:hAnsi="Times New Roman" w:cs="Times New Roman"/>
                <w:sz w:val="24"/>
                <w:szCs w:val="24"/>
              </w:rPr>
              <w:t xml:space="preserve">История государства и права зарубежных стран: учеб.: в 2 т. – Том 1: Древний мир и Средние века / Н.А. Крашенинникова, О.Л. Лысенко, В.А. Савельев и др.; отв. ред. Н.А. Крашенинникова, О.А. Жидков. – 3-е изд., перераб. и доп. – М.: Норма: Инфра-М, 2018. – 720 с.; Т.2: Современная эпоха / </w:t>
            </w:r>
            <w:r w:rsidRPr="0052622F">
              <w:rPr>
                <w:rFonts w:ascii="Times New Roman" w:hAnsi="Times New Roman" w:cs="Times New Roman"/>
                <w:color w:val="000000"/>
                <w:sz w:val="24"/>
                <w:szCs w:val="24"/>
                <w:shd w:val="clear" w:color="auto" w:fill="FFFFFF"/>
              </w:rPr>
              <w:t>Н.А. Крашенинникова, Л.М. Гудошников, О.А. Жидков и др.;</w:t>
            </w:r>
            <w:r w:rsidRPr="0052622F">
              <w:rPr>
                <w:rStyle w:val="apple-converted-space"/>
                <w:rFonts w:ascii="Times New Roman" w:hAnsi="Times New Roman" w:cs="Times New Roman"/>
                <w:color w:val="000000"/>
                <w:sz w:val="24"/>
                <w:szCs w:val="24"/>
                <w:shd w:val="clear" w:color="auto" w:fill="FFFFFF"/>
              </w:rPr>
              <w:t> </w:t>
            </w:r>
            <w:r w:rsidRPr="0052622F">
              <w:rPr>
                <w:rFonts w:ascii="Times New Roman" w:hAnsi="Times New Roman" w:cs="Times New Roman"/>
                <w:sz w:val="24"/>
                <w:szCs w:val="24"/>
              </w:rPr>
              <w:t xml:space="preserve">отв. ред. Н.А. Крашенинникова. – 3е изд., перераб. и доп. – </w:t>
            </w:r>
            <w:r w:rsidRPr="0052622F">
              <w:rPr>
                <w:rFonts w:ascii="Times New Roman" w:hAnsi="Times New Roman" w:cs="Times New Roman"/>
                <w:color w:val="000000"/>
                <w:sz w:val="24"/>
                <w:szCs w:val="24"/>
                <w:shd w:val="clear" w:color="auto" w:fill="FFFFFF"/>
              </w:rPr>
              <w:t>М.: Норма: Инфра-М, 2019. – 816 с.</w:t>
            </w:r>
          </w:p>
          <w:p w14:paraId="4B17D676" w14:textId="77777777" w:rsidR="00D12B26" w:rsidRPr="00760E90" w:rsidRDefault="00D12B26" w:rsidP="00D12B26">
            <w:pPr>
              <w:spacing w:after="0" w:line="241" w:lineRule="auto"/>
              <w:ind w:left="246" w:hanging="246"/>
              <w:jc w:val="both"/>
              <w:rPr>
                <w:rFonts w:ascii="Times New Roman" w:hAnsi="Times New Roman" w:cs="Times New Roman"/>
                <w:sz w:val="24"/>
                <w:szCs w:val="24"/>
                <w:shd w:val="clear" w:color="auto" w:fill="FFFFFF"/>
              </w:rPr>
            </w:pPr>
            <w:r>
              <w:rPr>
                <w:rFonts w:ascii="Times New Roman" w:hAnsi="Times New Roman" w:cs="Times New Roman"/>
                <w:sz w:val="24"/>
                <w:szCs w:val="24"/>
                <w:lang w:val="ru-RU"/>
              </w:rPr>
              <w:t xml:space="preserve">6. </w:t>
            </w:r>
            <w:r w:rsidRPr="00760E90">
              <w:rPr>
                <w:rFonts w:ascii="Times New Roman" w:hAnsi="Times New Roman" w:cs="Times New Roman"/>
                <w:sz w:val="24"/>
                <w:szCs w:val="24"/>
              </w:rPr>
              <w:t xml:space="preserve">Егоров, С.А. История государства и права России: в 2 ч.: учеб. и практикум для академич. бакалавриата / С.А. Егоров, А.Б. Иванов; под общ. ред. В.Н. Карташова. – Часть 1. </w:t>
            </w:r>
            <w:r w:rsidRPr="00760E90">
              <w:rPr>
                <w:rFonts w:ascii="Times New Roman" w:hAnsi="Times New Roman" w:cs="Times New Roman"/>
                <w:sz w:val="24"/>
                <w:szCs w:val="24"/>
                <w:lang w:val="en-US"/>
              </w:rPr>
              <w:t>IX</w:t>
            </w:r>
            <w:r w:rsidRPr="00760E90">
              <w:rPr>
                <w:rFonts w:ascii="Times New Roman" w:hAnsi="Times New Roman" w:cs="Times New Roman"/>
                <w:sz w:val="24"/>
                <w:szCs w:val="24"/>
              </w:rPr>
              <w:t xml:space="preserve"> – первая половина </w:t>
            </w:r>
            <w:r w:rsidRPr="00760E90">
              <w:rPr>
                <w:rFonts w:ascii="Times New Roman" w:hAnsi="Times New Roman" w:cs="Times New Roman"/>
                <w:sz w:val="24"/>
                <w:szCs w:val="24"/>
                <w:lang w:val="en-US"/>
              </w:rPr>
              <w:t>XIX</w:t>
            </w:r>
            <w:r w:rsidRPr="00760E90">
              <w:rPr>
                <w:rFonts w:ascii="Times New Roman" w:hAnsi="Times New Roman" w:cs="Times New Roman"/>
                <w:sz w:val="24"/>
                <w:szCs w:val="24"/>
              </w:rPr>
              <w:t xml:space="preserve"> века. – 2-е изд. – М.: Юрайт, 2019. – 345 с.; Часть 2. Вторая половина </w:t>
            </w:r>
            <w:r w:rsidRPr="00760E90">
              <w:rPr>
                <w:rFonts w:ascii="Times New Roman" w:hAnsi="Times New Roman" w:cs="Times New Roman"/>
                <w:sz w:val="24"/>
                <w:szCs w:val="24"/>
                <w:lang w:val="en-US"/>
              </w:rPr>
              <w:t>XIX</w:t>
            </w:r>
            <w:r w:rsidRPr="00760E90">
              <w:rPr>
                <w:rFonts w:ascii="Times New Roman" w:hAnsi="Times New Roman" w:cs="Times New Roman"/>
                <w:sz w:val="24"/>
                <w:szCs w:val="24"/>
              </w:rPr>
              <w:t xml:space="preserve"> – начало </w:t>
            </w:r>
            <w:r w:rsidRPr="00760E90">
              <w:rPr>
                <w:rFonts w:ascii="Times New Roman" w:hAnsi="Times New Roman" w:cs="Times New Roman"/>
                <w:sz w:val="24"/>
                <w:szCs w:val="24"/>
                <w:lang w:val="en-US"/>
              </w:rPr>
              <w:t>XXI</w:t>
            </w:r>
            <w:r w:rsidRPr="00760E90">
              <w:rPr>
                <w:rFonts w:ascii="Times New Roman" w:hAnsi="Times New Roman" w:cs="Times New Roman"/>
                <w:sz w:val="24"/>
                <w:szCs w:val="24"/>
              </w:rPr>
              <w:t xml:space="preserve"> в. – 2-е изд. – М.: Юрайт, 2019. – 309 с.  </w:t>
            </w:r>
          </w:p>
          <w:p w14:paraId="1E52233E" w14:textId="6C8B553D" w:rsidR="00D12B26" w:rsidRPr="00D12B26" w:rsidRDefault="00D12B26" w:rsidP="00D12B26">
            <w:pPr>
              <w:spacing w:after="0" w:line="240" w:lineRule="auto"/>
              <w:jc w:val="both"/>
              <w:rPr>
                <w:rFonts w:ascii="Times New Roman" w:eastAsia="Times New Roman" w:hAnsi="Times New Roman" w:cs="Times New Roman"/>
                <w:sz w:val="24"/>
                <w:szCs w:val="24"/>
                <w:lang w:val="ru-RU" w:eastAsia="ru-RU"/>
              </w:rPr>
            </w:pPr>
            <w:r>
              <w:rPr>
                <w:rFonts w:ascii="Times New Roman" w:hAnsi="Times New Roman" w:cs="Times New Roman"/>
                <w:sz w:val="24"/>
                <w:szCs w:val="24"/>
                <w:lang w:val="ru-RU"/>
              </w:rPr>
              <w:t>7</w:t>
            </w:r>
            <w:r w:rsidRPr="00760E90">
              <w:rPr>
                <w:rFonts w:ascii="Times New Roman" w:hAnsi="Times New Roman" w:cs="Times New Roman"/>
                <w:sz w:val="24"/>
                <w:szCs w:val="24"/>
              </w:rPr>
              <w:t>.  Исаев, И.А. История государства и права России: учеб. / И.А. Исаев. – 4-е изд. – М.: Норма, 2019. – 800 с.</w:t>
            </w:r>
          </w:p>
        </w:tc>
      </w:tr>
      <w:tr w:rsidR="00D12B26" w:rsidRPr="00D12B26" w14:paraId="7639C32C"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473799F8"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14:paraId="3B1AAAFE"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Teaching Methods</w:t>
            </w:r>
          </w:p>
        </w:tc>
        <w:tc>
          <w:tcPr>
            <w:tcW w:w="6300" w:type="dxa"/>
            <w:tcBorders>
              <w:top w:val="single" w:sz="4" w:space="0" w:color="auto"/>
              <w:left w:val="single" w:sz="4" w:space="0" w:color="auto"/>
              <w:bottom w:val="single" w:sz="4" w:space="0" w:color="auto"/>
              <w:right w:val="single" w:sz="4" w:space="0" w:color="auto"/>
            </w:tcBorders>
            <w:hideMark/>
          </w:tcPr>
          <w:p w14:paraId="091E9B55" w14:textId="23E9B9F4" w:rsidR="00D12B26" w:rsidRPr="00D12B26" w:rsidRDefault="000C1D96" w:rsidP="00D12B26">
            <w:pPr>
              <w:spacing w:after="0" w:line="240" w:lineRule="auto"/>
              <w:jc w:val="both"/>
              <w:rPr>
                <w:rFonts w:ascii="Times New Roman" w:eastAsia="Times New Roman" w:hAnsi="Times New Roman" w:cs="Times New Roman"/>
                <w:sz w:val="24"/>
                <w:szCs w:val="24"/>
                <w:lang w:val="en-US" w:eastAsia="ru-RU"/>
              </w:rPr>
            </w:pPr>
            <w:r w:rsidRPr="000C1D96">
              <w:rPr>
                <w:rFonts w:ascii="Times New Roman" w:eastAsia="Times New Roman" w:hAnsi="Times New Roman" w:cs="Times New Roman"/>
                <w:sz w:val="24"/>
                <w:szCs w:val="24"/>
                <w:lang w:val="en-US" w:eastAsia="ru-RU"/>
              </w:rPr>
              <w:t>Problem-based, visual, case study (case method), heuristic, exploratory, partially exploratory</w:t>
            </w:r>
          </w:p>
        </w:tc>
      </w:tr>
      <w:tr w:rsidR="00D12B26" w:rsidRPr="00D12B26" w14:paraId="42A876B3" w14:textId="77777777" w:rsidTr="00D61D47">
        <w:tc>
          <w:tcPr>
            <w:tcW w:w="468" w:type="dxa"/>
            <w:tcBorders>
              <w:top w:val="single" w:sz="4" w:space="0" w:color="auto"/>
              <w:left w:val="single" w:sz="4" w:space="0" w:color="auto"/>
              <w:bottom w:val="single" w:sz="4" w:space="0" w:color="auto"/>
              <w:right w:val="single" w:sz="4" w:space="0" w:color="auto"/>
            </w:tcBorders>
            <w:hideMark/>
          </w:tcPr>
          <w:p w14:paraId="21017123" w14:textId="77777777" w:rsidR="00D12B26" w:rsidRPr="00D12B26" w:rsidRDefault="00D12B26" w:rsidP="00D12B26">
            <w:pPr>
              <w:spacing w:after="0" w:line="240" w:lineRule="auto"/>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12</w:t>
            </w:r>
          </w:p>
        </w:tc>
        <w:tc>
          <w:tcPr>
            <w:tcW w:w="2355" w:type="dxa"/>
            <w:tcBorders>
              <w:top w:val="single" w:sz="4" w:space="0" w:color="auto"/>
              <w:left w:val="single" w:sz="4" w:space="0" w:color="auto"/>
              <w:bottom w:val="single" w:sz="4" w:space="0" w:color="auto"/>
              <w:right w:val="single" w:sz="4" w:space="0" w:color="auto"/>
            </w:tcBorders>
            <w:hideMark/>
          </w:tcPr>
          <w:p w14:paraId="4F5E12D2" w14:textId="77777777" w:rsidR="00D12B26" w:rsidRPr="00D12B26" w:rsidRDefault="00D12B26" w:rsidP="00D12B26">
            <w:pPr>
              <w:spacing w:after="0" w:line="240" w:lineRule="auto"/>
              <w:jc w:val="center"/>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 xml:space="preserve">Language of </w:t>
            </w:r>
            <w:r w:rsidRPr="00D12B26">
              <w:rPr>
                <w:rFonts w:ascii="Times New Roman" w:eastAsia="Times New Roman" w:hAnsi="Times New Roman" w:cs="Times New Roman"/>
                <w:sz w:val="24"/>
                <w:szCs w:val="24"/>
                <w:lang w:val="en-US" w:eastAsia="ru-RU"/>
              </w:rPr>
              <w:t>Tuition</w:t>
            </w:r>
          </w:p>
        </w:tc>
        <w:tc>
          <w:tcPr>
            <w:tcW w:w="6300" w:type="dxa"/>
            <w:tcBorders>
              <w:top w:val="single" w:sz="4" w:space="0" w:color="auto"/>
              <w:left w:val="single" w:sz="4" w:space="0" w:color="auto"/>
              <w:bottom w:val="single" w:sz="4" w:space="0" w:color="auto"/>
              <w:right w:val="single" w:sz="4" w:space="0" w:color="auto"/>
            </w:tcBorders>
            <w:hideMark/>
          </w:tcPr>
          <w:p w14:paraId="6704EA96" w14:textId="77777777" w:rsidR="00D12B26" w:rsidRPr="00D12B26" w:rsidRDefault="00D12B26" w:rsidP="00D12B26">
            <w:pPr>
              <w:spacing w:after="0" w:line="240" w:lineRule="auto"/>
              <w:jc w:val="both"/>
              <w:rPr>
                <w:rFonts w:ascii="Times New Roman" w:eastAsia="Times New Roman" w:hAnsi="Times New Roman" w:cs="Times New Roman"/>
                <w:sz w:val="24"/>
                <w:szCs w:val="24"/>
                <w:lang w:val="ru-RU" w:eastAsia="ru-RU"/>
              </w:rPr>
            </w:pPr>
            <w:r w:rsidRPr="00D12B26">
              <w:rPr>
                <w:rFonts w:ascii="Times New Roman" w:eastAsia="Times New Roman" w:hAnsi="Times New Roman" w:cs="Times New Roman"/>
                <w:sz w:val="24"/>
                <w:szCs w:val="24"/>
                <w:lang w:val="ru-RU" w:eastAsia="ru-RU"/>
              </w:rPr>
              <w:t>Russian</w:t>
            </w:r>
          </w:p>
        </w:tc>
      </w:tr>
    </w:tbl>
    <w:p w14:paraId="53DE94AE" w14:textId="77777777" w:rsidR="00D12B26" w:rsidRPr="000C1D96" w:rsidRDefault="00D12B26" w:rsidP="000C1D96">
      <w:pPr>
        <w:spacing w:after="0" w:line="240" w:lineRule="auto"/>
        <w:jc w:val="center"/>
        <w:rPr>
          <w:rFonts w:ascii="Times New Roman" w:eastAsia="Times New Roman" w:hAnsi="Times New Roman" w:cs="Times New Roman"/>
          <w:b/>
          <w:sz w:val="24"/>
          <w:szCs w:val="24"/>
          <w:lang w:val="ru-RU" w:eastAsia="ru-RU"/>
        </w:rPr>
      </w:pPr>
    </w:p>
    <w:sectPr w:rsidR="00D12B26" w:rsidRPr="000C1D96" w:rsidSect="00B154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34B7"/>
    <w:multiLevelType w:val="hybridMultilevel"/>
    <w:tmpl w:val="E234696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47A2C"/>
    <w:multiLevelType w:val="hybridMultilevel"/>
    <w:tmpl w:val="4D8C86D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9E662E"/>
    <w:multiLevelType w:val="hybridMultilevel"/>
    <w:tmpl w:val="124C44E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35649"/>
    <w:multiLevelType w:val="hybridMultilevel"/>
    <w:tmpl w:val="00AACAA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16cid:durableId="1726030602">
    <w:abstractNumId w:val="1"/>
  </w:num>
  <w:num w:numId="2" w16cid:durableId="2023776392">
    <w:abstractNumId w:val="2"/>
  </w:num>
  <w:num w:numId="3" w16cid:durableId="2000884682">
    <w:abstractNumId w:val="0"/>
  </w:num>
  <w:num w:numId="4" w16cid:durableId="1093429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E5"/>
    <w:rsid w:val="00056C5E"/>
    <w:rsid w:val="000C1D96"/>
    <w:rsid w:val="00145841"/>
    <w:rsid w:val="00153C76"/>
    <w:rsid w:val="00177918"/>
    <w:rsid w:val="001A31E5"/>
    <w:rsid w:val="00211C48"/>
    <w:rsid w:val="0034642F"/>
    <w:rsid w:val="00451FCF"/>
    <w:rsid w:val="0052622F"/>
    <w:rsid w:val="00564722"/>
    <w:rsid w:val="0064326F"/>
    <w:rsid w:val="006910B3"/>
    <w:rsid w:val="006A4176"/>
    <w:rsid w:val="006F3CB4"/>
    <w:rsid w:val="00760E90"/>
    <w:rsid w:val="008105BC"/>
    <w:rsid w:val="00814D7A"/>
    <w:rsid w:val="0088229E"/>
    <w:rsid w:val="009243E5"/>
    <w:rsid w:val="00960845"/>
    <w:rsid w:val="00A01399"/>
    <w:rsid w:val="00A64AC5"/>
    <w:rsid w:val="00B02E2C"/>
    <w:rsid w:val="00B90589"/>
    <w:rsid w:val="00C306AB"/>
    <w:rsid w:val="00C57F5C"/>
    <w:rsid w:val="00C632B2"/>
    <w:rsid w:val="00CD658A"/>
    <w:rsid w:val="00CE116B"/>
    <w:rsid w:val="00D12B26"/>
    <w:rsid w:val="00D96F28"/>
    <w:rsid w:val="00E03F91"/>
    <w:rsid w:val="00FB4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795BA"/>
  <w15:docId w15:val="{8FF3EC21-98B7-4634-B3F9-263B0F537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3E5"/>
    <w:rPr>
      <w:rFonts w:ascii="Calibri" w:eastAsia="Calibri" w:hAnsi="Calibri" w:cs="Calibri"/>
      <w:lang w:val="be-BY"/>
    </w:rPr>
  </w:style>
  <w:style w:type="paragraph" w:styleId="1">
    <w:name w:val="heading 1"/>
    <w:basedOn w:val="a"/>
    <w:next w:val="a"/>
    <w:link w:val="10"/>
    <w:uiPriority w:val="9"/>
    <w:qFormat/>
    <w:rsid w:val="00760E90"/>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243E5"/>
    <w:pPr>
      <w:spacing w:after="0" w:line="360" w:lineRule="auto"/>
      <w:jc w:val="both"/>
    </w:pPr>
    <w:rPr>
      <w:rFonts w:ascii="Times New Roman" w:eastAsia="Times New Roman" w:hAnsi="Times New Roman" w:cs="Times New Roman"/>
      <w:sz w:val="24"/>
      <w:szCs w:val="24"/>
      <w:lang w:val="ru-RU" w:eastAsia="ru-RU"/>
    </w:rPr>
  </w:style>
  <w:style w:type="character" w:customStyle="1" w:styleId="a4">
    <w:name w:val="Основной текст Знак"/>
    <w:basedOn w:val="a0"/>
    <w:link w:val="a3"/>
    <w:uiPriority w:val="99"/>
    <w:rsid w:val="009243E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60E90"/>
    <w:rPr>
      <w:rFonts w:ascii="Cambria" w:eastAsia="Times New Roman" w:hAnsi="Cambria" w:cs="Times New Roman"/>
      <w:b/>
      <w:bCs/>
      <w:color w:val="365F91"/>
      <w:sz w:val="28"/>
      <w:szCs w:val="28"/>
    </w:rPr>
  </w:style>
  <w:style w:type="character" w:styleId="a5">
    <w:name w:val="Strong"/>
    <w:uiPriority w:val="22"/>
    <w:qFormat/>
    <w:rsid w:val="00760E90"/>
    <w:rPr>
      <w:b/>
      <w:bCs/>
    </w:rPr>
  </w:style>
  <w:style w:type="character" w:styleId="a6">
    <w:name w:val="Emphasis"/>
    <w:uiPriority w:val="20"/>
    <w:qFormat/>
    <w:rsid w:val="00760E90"/>
    <w:rPr>
      <w:i/>
      <w:iCs/>
    </w:rPr>
  </w:style>
  <w:style w:type="character" w:customStyle="1" w:styleId="st">
    <w:name w:val="st"/>
    <w:basedOn w:val="a0"/>
    <w:rsid w:val="00760E90"/>
  </w:style>
  <w:style w:type="character" w:customStyle="1" w:styleId="apple-converted-space">
    <w:name w:val="apple-converted-space"/>
    <w:basedOn w:val="a0"/>
    <w:rsid w:val="00760E90"/>
  </w:style>
  <w:style w:type="paragraph" w:styleId="a7">
    <w:name w:val="List Paragraph"/>
    <w:basedOn w:val="a"/>
    <w:uiPriority w:val="34"/>
    <w:qFormat/>
    <w:rsid w:val="00760E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67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599</Words>
  <Characters>3419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Инна Кондратьева</cp:lastModifiedBy>
  <cp:revision>4</cp:revision>
  <dcterms:created xsi:type="dcterms:W3CDTF">2023-10-16T13:49:00Z</dcterms:created>
  <dcterms:modified xsi:type="dcterms:W3CDTF">2023-11-14T20:11:00Z</dcterms:modified>
</cp:coreProperties>
</file>